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bCs/>
          <w:sz w:val="40"/>
          <w:szCs w:val="40"/>
        </w:rPr>
      </w:pPr>
      <w:r>
        <w:rPr>
          <w:rFonts w:hint="eastAsia" w:ascii="黑体" w:hAnsi="黑体" w:eastAsia="黑体" w:cs="黑体"/>
          <w:b/>
          <w:bCs/>
          <w:sz w:val="40"/>
          <w:szCs w:val="40"/>
        </w:rPr>
        <w:t>中国人民银行支付结算司</w:t>
      </w:r>
    </w:p>
    <w:p>
      <w:pPr>
        <w:spacing w:line="360" w:lineRule="auto"/>
        <w:jc w:val="center"/>
        <w:rPr>
          <w:rFonts w:hint="eastAsia" w:ascii="黑体" w:hAnsi="黑体" w:eastAsia="黑体" w:cs="黑体"/>
          <w:b/>
          <w:bCs/>
          <w:sz w:val="40"/>
          <w:szCs w:val="40"/>
        </w:rPr>
      </w:pPr>
      <w:r>
        <w:rPr>
          <w:rFonts w:hint="eastAsia" w:ascii="黑体" w:hAnsi="黑体" w:eastAsia="黑体" w:cs="黑体"/>
          <w:b/>
          <w:bCs/>
          <w:sz w:val="40"/>
          <w:szCs w:val="40"/>
        </w:rPr>
        <w:t>关于持续有效推进支付服务减费让利工作的通知</w:t>
      </w:r>
    </w:p>
    <w:p>
      <w:pPr>
        <w:spacing w:line="360" w:lineRule="auto"/>
        <w:jc w:val="center"/>
        <w:rPr>
          <w:rFonts w:hint="eastAsia"/>
          <w:sz w:val="30"/>
          <w:szCs w:val="30"/>
        </w:rPr>
      </w:pPr>
      <w:r>
        <w:rPr>
          <w:rFonts w:hint="eastAsia"/>
          <w:sz w:val="30"/>
          <w:szCs w:val="30"/>
        </w:rPr>
        <w:t>银支付〔2022〕75号</w:t>
      </w:r>
    </w:p>
    <w:p>
      <w:pPr>
        <w:pStyle w:val="2"/>
        <w:spacing w:line="360" w:lineRule="auto"/>
        <w:rPr>
          <w:rFonts w:hint="eastAsia"/>
          <w:sz w:val="30"/>
          <w:szCs w:val="30"/>
          <w:lang w:eastAsia="zh-CN"/>
        </w:rPr>
      </w:pPr>
      <w:bookmarkStart w:id="0" w:name="_GoBack"/>
      <w:bookmarkEnd w:id="0"/>
    </w:p>
    <w:p>
      <w:pPr>
        <w:spacing w:line="360" w:lineRule="auto"/>
        <w:rPr>
          <w:rFonts w:hint="eastAsia" w:eastAsia="宋体"/>
          <w:sz w:val="30"/>
          <w:szCs w:val="30"/>
          <w:lang w:eastAsia="zh-CN"/>
        </w:rPr>
      </w:pPr>
      <w:r>
        <w:rPr>
          <w:rFonts w:hint="eastAsia"/>
          <w:sz w:val="30"/>
          <w:szCs w:val="30"/>
        </w:rPr>
        <w:t>中国人民银行上海总部金融服务一部，各分行、营业管理部、省会 （首府）城市中心支行、副省级城市中心支行支付结算处 （会计财务处）；各国有商业银行、中国邮政储蓄银行、各股份制商业银行支付服务减费让利工作牵头部门；各非银行支付机构；各银行卡清算机构：</w:t>
      </w:r>
    </w:p>
    <w:p>
      <w:pPr>
        <w:spacing w:line="360" w:lineRule="auto"/>
        <w:ind w:firstLine="600" w:firstLineChars="200"/>
        <w:rPr>
          <w:rFonts w:hint="eastAsia" w:eastAsia="宋体"/>
          <w:sz w:val="30"/>
          <w:szCs w:val="30"/>
          <w:lang w:eastAsia="zh-CN"/>
        </w:rPr>
      </w:pPr>
      <w:r>
        <w:rPr>
          <w:rFonts w:hint="eastAsia"/>
          <w:sz w:val="30"/>
          <w:szCs w:val="30"/>
        </w:rPr>
        <w:t>为有效打通支付服务减费让利政策传导的“最后一公里”，确保政策落到实处、切实惠及市场主体，现就持续有效推进支付服务减费让利工作通知如下：</w:t>
      </w:r>
    </w:p>
    <w:p>
      <w:pPr>
        <w:spacing w:line="360" w:lineRule="auto"/>
        <w:ind w:firstLine="600" w:firstLineChars="200"/>
        <w:rPr>
          <w:rFonts w:hint="eastAsia" w:eastAsia="宋体"/>
          <w:sz w:val="30"/>
          <w:szCs w:val="30"/>
          <w:lang w:eastAsia="zh-CN"/>
        </w:rPr>
      </w:pPr>
      <w:r>
        <w:rPr>
          <w:rFonts w:hint="eastAsia"/>
          <w:sz w:val="30"/>
          <w:szCs w:val="30"/>
        </w:rPr>
        <w:t>一、压实主体责任，持续推进政策落实落细</w:t>
      </w:r>
    </w:p>
    <w:p>
      <w:pPr>
        <w:spacing w:line="360" w:lineRule="auto"/>
        <w:ind w:firstLine="600" w:firstLineChars="200"/>
        <w:rPr>
          <w:rFonts w:hint="eastAsia" w:eastAsia="宋体"/>
          <w:sz w:val="30"/>
          <w:szCs w:val="30"/>
          <w:lang w:eastAsia="zh-CN"/>
        </w:rPr>
      </w:pPr>
      <w:r>
        <w:rPr>
          <w:rFonts w:hint="eastAsia"/>
          <w:sz w:val="30"/>
          <w:szCs w:val="30"/>
        </w:rPr>
        <w:t>（一）完善配套服务机制。各银行业金融机构 （以下简称商业银行）、非银行支付机构 （以下简称支付机构）应完善小微企业动态识别管理机制，优化小微企业界定流程，精细化、动态化科学界定小微企业客户。完善多收费、误收费退还机制，简化退费办理流程和手续，畅通线上线下退费渠道，确保降费政策应降尽降。完善投诉处理机制，畅通受理渠道，提高异议处理效率，切实维护客户合法权益。</w:t>
      </w:r>
    </w:p>
    <w:p>
      <w:pPr>
        <w:spacing w:line="360" w:lineRule="auto"/>
        <w:ind w:firstLine="600" w:firstLineChars="200"/>
        <w:rPr>
          <w:rFonts w:hint="eastAsia" w:eastAsia="宋体"/>
          <w:sz w:val="30"/>
          <w:szCs w:val="30"/>
          <w:lang w:eastAsia="zh-CN"/>
        </w:rPr>
      </w:pPr>
      <w:r>
        <w:rPr>
          <w:rFonts w:hint="eastAsia"/>
          <w:sz w:val="30"/>
          <w:szCs w:val="30"/>
        </w:rPr>
        <w:t>（二）规范价格信息披露。各商业银行、支付机构应通过官方网站、微信公众号、营业网点等渠道持续做好服务价格信息披露，并切实加强基层员工减费让利政策培训，确保直接面向小微企业、个体工商户的一线业务人员熟知降费政策，提高市场主体政策知晓度和获得感。</w:t>
      </w:r>
    </w:p>
    <w:p>
      <w:pPr>
        <w:spacing w:line="360" w:lineRule="auto"/>
        <w:ind w:firstLine="600" w:firstLineChars="200"/>
        <w:rPr>
          <w:rFonts w:hint="eastAsia" w:eastAsia="宋体"/>
          <w:sz w:val="30"/>
          <w:szCs w:val="30"/>
          <w:lang w:eastAsia="zh-CN"/>
        </w:rPr>
      </w:pPr>
      <w:r>
        <w:rPr>
          <w:rFonts w:hint="eastAsia"/>
          <w:sz w:val="30"/>
          <w:szCs w:val="30"/>
        </w:rPr>
        <w:t>（三）排查政策传导情况。各商业银行、支付机构等提供银行卡收单服务的机构应全面排查降费政策实施后对商户收单服务费的收费情况，切实将发卡行、银行卡清算机构的让利有效传导至商户。人民银行分支机构支付结算部门应全面摸排本辖区政策逐级传导情况，重点关注辖区收单机构对商户收单服务费的收费情况，确保降费政策向市场主体传导到位。</w:t>
      </w:r>
    </w:p>
    <w:p>
      <w:pPr>
        <w:spacing w:line="360" w:lineRule="auto"/>
        <w:ind w:firstLine="600" w:firstLineChars="200"/>
        <w:rPr>
          <w:rFonts w:hint="eastAsia" w:eastAsia="宋体"/>
          <w:sz w:val="30"/>
          <w:szCs w:val="30"/>
          <w:lang w:eastAsia="zh-CN"/>
        </w:rPr>
      </w:pPr>
      <w:r>
        <w:rPr>
          <w:rFonts w:hint="eastAsia"/>
          <w:sz w:val="30"/>
          <w:szCs w:val="30"/>
        </w:rPr>
        <w:t>二、加强督促力度，跟踪分析政策落实情况</w:t>
      </w:r>
    </w:p>
    <w:p>
      <w:pPr>
        <w:spacing w:line="360" w:lineRule="auto"/>
        <w:ind w:firstLine="600" w:firstLineChars="200"/>
        <w:rPr>
          <w:rFonts w:hint="eastAsia" w:eastAsia="宋体"/>
          <w:sz w:val="30"/>
          <w:szCs w:val="30"/>
          <w:lang w:eastAsia="zh-CN"/>
        </w:rPr>
      </w:pPr>
      <w:r>
        <w:rPr>
          <w:rFonts w:hint="eastAsia"/>
          <w:sz w:val="30"/>
          <w:szCs w:val="30"/>
        </w:rPr>
        <w:t>（四）开展常态化自查自纠。各商业银行、支付机构应建立健全常态化自查整改工作机制，采取交叉暗访、突击检查、系统监测等方式，对本单位配套机制建设、价格信息披露等政策执行情况持续开展自查自纠，发现问题及时规范整改。</w:t>
      </w:r>
    </w:p>
    <w:p>
      <w:pPr>
        <w:spacing w:line="360" w:lineRule="auto"/>
        <w:ind w:firstLine="600" w:firstLineChars="200"/>
        <w:rPr>
          <w:rFonts w:hint="eastAsia" w:eastAsia="宋体"/>
          <w:sz w:val="30"/>
          <w:szCs w:val="30"/>
          <w:lang w:eastAsia="zh-CN"/>
        </w:rPr>
      </w:pPr>
      <w:r>
        <w:rPr>
          <w:rFonts w:hint="eastAsia"/>
          <w:sz w:val="30"/>
          <w:szCs w:val="30"/>
        </w:rPr>
        <w:t>（五）抓好监督检查工作。人民银行分支机构支付结算部门应建立健全覆盖暗访网点、回访企业、现场抽查、系统核实、投诉处理等方面的长效机制，在严格遵守属地疫情防控管理要求的基础上，持续抓好支付服务减费让利监督检查，对政策落实不到位、整改不力的商业银行、支付机构从严追责问责。</w:t>
      </w:r>
    </w:p>
    <w:p>
      <w:pPr>
        <w:spacing w:line="360" w:lineRule="auto"/>
        <w:ind w:firstLine="600" w:firstLineChars="200"/>
        <w:rPr>
          <w:rFonts w:hint="eastAsia"/>
          <w:sz w:val="30"/>
          <w:szCs w:val="30"/>
        </w:rPr>
      </w:pPr>
      <w:r>
        <w:rPr>
          <w:rFonts w:hint="eastAsia"/>
          <w:sz w:val="30"/>
          <w:szCs w:val="30"/>
        </w:rPr>
        <w:t>（六）加强政策跟踪调研。人民银行分支机构支付结算部门应加强降费政策效果跟踪评估，持续抽样回访小微企业和个体工商户，了解政策传导过程中存在的问题、市场主体需求及建议。</w:t>
      </w:r>
    </w:p>
    <w:p>
      <w:pPr>
        <w:spacing w:line="360" w:lineRule="auto"/>
        <w:ind w:firstLine="600" w:firstLineChars="200"/>
        <w:rPr>
          <w:rFonts w:hint="eastAsia" w:eastAsia="宋体"/>
          <w:sz w:val="30"/>
          <w:szCs w:val="30"/>
          <w:lang w:eastAsia="zh-CN"/>
        </w:rPr>
      </w:pPr>
      <w:r>
        <w:rPr>
          <w:rFonts w:hint="eastAsia"/>
          <w:sz w:val="30"/>
          <w:szCs w:val="30"/>
        </w:rPr>
        <w:t>对于在政策跟踪评估过程中发现的新情况、新问题，应及时报告支付结算司，并提出解决问题的意见建议。</w:t>
      </w:r>
    </w:p>
    <w:p>
      <w:pPr>
        <w:spacing w:line="360" w:lineRule="auto"/>
        <w:ind w:firstLine="600" w:firstLineChars="200"/>
        <w:rPr>
          <w:rFonts w:hint="eastAsia" w:eastAsia="宋体"/>
          <w:sz w:val="30"/>
          <w:szCs w:val="30"/>
          <w:lang w:eastAsia="zh-CN"/>
        </w:rPr>
      </w:pPr>
      <w:r>
        <w:rPr>
          <w:rFonts w:hint="eastAsia"/>
          <w:sz w:val="30"/>
          <w:szCs w:val="30"/>
        </w:rPr>
        <w:t>三、强化宣传引导，持续营造良好舆论氛围</w:t>
      </w:r>
    </w:p>
    <w:p>
      <w:pPr>
        <w:spacing w:line="360" w:lineRule="auto"/>
        <w:ind w:firstLine="600" w:firstLineChars="200"/>
        <w:rPr>
          <w:rFonts w:hint="eastAsia"/>
          <w:sz w:val="30"/>
          <w:szCs w:val="30"/>
        </w:rPr>
      </w:pPr>
      <w:r>
        <w:rPr>
          <w:rFonts w:hint="eastAsia"/>
          <w:sz w:val="30"/>
          <w:szCs w:val="30"/>
        </w:rPr>
        <w:t>（七）完善政策宣导机制。各商业银行、支付机构应发挥直面市场主体的优势，创新宣传方式、拓展宣传渠道，针对不同类型市场主体，通过短信推送、上门服务等方式，持续宣传降费政策。人民银行分支机构支付结算部门应按照常态宣传与集中宣传相结合原则，督促指导辖区商业银行、支付机构开展多样化宣传和政策解读，并联合相关政府部门、行业协会等形成宣传工作合力，营造支付行业重视、关心、支持小微企业和个体工商户的良好舆论氛围。</w:t>
      </w:r>
    </w:p>
    <w:p>
      <w:pPr>
        <w:spacing w:line="360" w:lineRule="auto"/>
        <w:ind w:firstLine="600" w:firstLineChars="200"/>
        <w:rPr>
          <w:rFonts w:hint="eastAsia" w:eastAsia="宋体"/>
          <w:sz w:val="30"/>
          <w:szCs w:val="30"/>
          <w:lang w:eastAsia="zh-CN"/>
        </w:rPr>
      </w:pPr>
      <w:r>
        <w:rPr>
          <w:rFonts w:hint="eastAsia"/>
          <w:sz w:val="30"/>
          <w:szCs w:val="30"/>
        </w:rPr>
        <w:t>（八）加强舆情监测分析。人民银行分支机构支付结算部门应建立健全舆情监测分析机制，加大对辖区降费政策相关舆情监测力度，及时回应社会关切，消除公众误解误读。</w:t>
      </w:r>
    </w:p>
    <w:p>
      <w:pPr>
        <w:spacing w:line="360" w:lineRule="auto"/>
        <w:ind w:firstLine="600" w:firstLineChars="200"/>
        <w:rPr>
          <w:rFonts w:hint="eastAsia" w:eastAsia="宋体"/>
          <w:sz w:val="30"/>
          <w:szCs w:val="30"/>
          <w:lang w:eastAsia="zh-CN"/>
        </w:rPr>
      </w:pPr>
      <w:r>
        <w:rPr>
          <w:rFonts w:hint="eastAsia"/>
          <w:sz w:val="30"/>
          <w:szCs w:val="30"/>
        </w:rPr>
        <w:t>四、做好统计报告，提升降费数据统计质量</w:t>
      </w:r>
    </w:p>
    <w:p>
      <w:pPr>
        <w:spacing w:line="360" w:lineRule="auto"/>
        <w:ind w:firstLine="600" w:firstLineChars="200"/>
        <w:rPr>
          <w:rFonts w:hint="eastAsia" w:eastAsia="宋体"/>
          <w:sz w:val="30"/>
          <w:szCs w:val="30"/>
          <w:lang w:eastAsia="zh-CN"/>
        </w:rPr>
      </w:pPr>
      <w:r>
        <w:rPr>
          <w:rFonts w:hint="eastAsia"/>
          <w:sz w:val="30"/>
          <w:szCs w:val="30"/>
        </w:rPr>
        <w:t>（九）加强定期汇总和报告。各单位应及时跟进本辖区、本单位支付服务减费让利工作进展，包括降费措施及实施效果、政策宣传情况、存在的问题、下一步工作计划等，做好减费让利规模、惠及市场主体数量等数据统计分析。相关报告及统计数据应同时提供电子版和加盖公章的扫描版，并分别于每月10日、每年12月10日向支付结算司报送月报、年报。其中，全国性商业银行、银行卡清算机构报送本单位相关情况，人民银行分支机构支付结算部门汇总报送辖区地方性法人银行、外资银行主报告行以及法人支付机构相关情况。</w:t>
      </w:r>
    </w:p>
    <w:p>
      <w:pPr>
        <w:spacing w:line="360" w:lineRule="auto"/>
        <w:ind w:firstLine="600" w:firstLineChars="200"/>
        <w:rPr>
          <w:rFonts w:hint="eastAsia" w:eastAsia="宋体"/>
          <w:sz w:val="30"/>
          <w:szCs w:val="30"/>
          <w:lang w:eastAsia="zh-CN"/>
        </w:rPr>
      </w:pPr>
      <w:r>
        <w:rPr>
          <w:rFonts w:hint="eastAsia"/>
          <w:sz w:val="30"/>
          <w:szCs w:val="30"/>
        </w:rPr>
        <w:t>（十）加强数据质量管理。各商业银行、支付机构、银行卡清算机构应切实承担数据报送主体责任，强化数据痕迹管理，建立数据统计台账并留存备查，确保相关数据的真实性、准确性、完整性和可追溯性。人民银行分支机构支付结算部门应切实加强降费数据审核和管理，不定期对辖区支付服务主体报送的降费数据开展抽查、核实，确保数据真实可靠，经得起检验。</w:t>
      </w:r>
    </w:p>
    <w:p>
      <w:pPr>
        <w:spacing w:line="360" w:lineRule="auto"/>
        <w:ind w:firstLine="600" w:firstLineChars="200"/>
        <w:rPr>
          <w:rFonts w:hint="eastAsia" w:eastAsia="宋体"/>
          <w:sz w:val="30"/>
          <w:szCs w:val="30"/>
          <w:lang w:eastAsia="zh-CN"/>
        </w:rPr>
      </w:pPr>
      <w:r>
        <w:rPr>
          <w:rFonts w:hint="eastAsia"/>
          <w:sz w:val="30"/>
          <w:szCs w:val="30"/>
        </w:rPr>
        <w:t>请人民银行上海总部金融服务一部，各分行、营业管理部、省会（首府）城市中心支行、副省级城市中心支行支付结算处（会计财务处）及时将本通知转发至辖区内人民银行分支机构、商业银行和支付机构。各单位在执行过程中如遇问题，请及时报告支付结算司。</w:t>
      </w:r>
    </w:p>
    <w:p>
      <w:pPr>
        <w:spacing w:line="360" w:lineRule="auto"/>
        <w:ind w:firstLine="600" w:firstLineChars="200"/>
        <w:rPr>
          <w:rFonts w:hint="eastAsia"/>
          <w:sz w:val="30"/>
          <w:szCs w:val="30"/>
        </w:rPr>
      </w:pPr>
      <w:r>
        <w:rPr>
          <w:rFonts w:hint="eastAsia"/>
          <w:sz w:val="30"/>
          <w:szCs w:val="30"/>
        </w:rPr>
        <w:t>联系人及联系电话： 王志振， 010-66195145</w:t>
      </w:r>
    </w:p>
    <w:p>
      <w:pPr>
        <w:pStyle w:val="2"/>
        <w:spacing w:line="360" w:lineRule="auto"/>
        <w:ind w:firstLine="600" w:firstLineChars="200"/>
        <w:rPr>
          <w:rFonts w:hint="eastAsia"/>
          <w:sz w:val="30"/>
          <w:szCs w:val="30"/>
        </w:rPr>
      </w:pPr>
    </w:p>
    <w:p>
      <w:pPr>
        <w:spacing w:line="360" w:lineRule="auto"/>
        <w:ind w:firstLine="600" w:firstLineChars="200"/>
        <w:jc w:val="right"/>
        <w:rPr>
          <w:rFonts w:hint="eastAsia"/>
          <w:sz w:val="30"/>
          <w:szCs w:val="30"/>
        </w:rPr>
      </w:pPr>
      <w:r>
        <w:rPr>
          <w:rFonts w:hint="eastAsia"/>
          <w:sz w:val="30"/>
          <w:szCs w:val="30"/>
        </w:rPr>
        <w:t>中国人民银行支付结算司</w:t>
      </w:r>
    </w:p>
    <w:p>
      <w:pPr>
        <w:spacing w:line="360" w:lineRule="auto"/>
        <w:ind w:firstLine="600" w:firstLineChars="200"/>
        <w:jc w:val="right"/>
        <w:rPr>
          <w:sz w:val="30"/>
          <w:szCs w:val="30"/>
        </w:rPr>
      </w:pPr>
      <w:r>
        <w:rPr>
          <w:rFonts w:hint="eastAsia"/>
          <w:sz w:val="30"/>
          <w:szCs w:val="30"/>
        </w:rPr>
        <w:t>2022年6月 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5F2516F0"/>
    <w:rsid w:val="002741DF"/>
    <w:rsid w:val="00617578"/>
    <w:rsid w:val="00691CD2"/>
    <w:rsid w:val="006F20ED"/>
    <w:rsid w:val="007105AC"/>
    <w:rsid w:val="00826AB9"/>
    <w:rsid w:val="00B87FE7"/>
    <w:rsid w:val="00C22534"/>
    <w:rsid w:val="00C671D0"/>
    <w:rsid w:val="00CD0BE2"/>
    <w:rsid w:val="00D3759C"/>
    <w:rsid w:val="00E64777"/>
    <w:rsid w:val="00E9741A"/>
    <w:rsid w:val="00EB4152"/>
    <w:rsid w:val="013C0F37"/>
    <w:rsid w:val="01437743"/>
    <w:rsid w:val="01587402"/>
    <w:rsid w:val="016D2BAA"/>
    <w:rsid w:val="016F46C0"/>
    <w:rsid w:val="017461D2"/>
    <w:rsid w:val="018D4514"/>
    <w:rsid w:val="01A43904"/>
    <w:rsid w:val="01C76F0F"/>
    <w:rsid w:val="01DD2E72"/>
    <w:rsid w:val="01FD0216"/>
    <w:rsid w:val="020B3977"/>
    <w:rsid w:val="022D0AD5"/>
    <w:rsid w:val="023D6B35"/>
    <w:rsid w:val="02602178"/>
    <w:rsid w:val="026611FE"/>
    <w:rsid w:val="026C7183"/>
    <w:rsid w:val="027233D9"/>
    <w:rsid w:val="02AD483F"/>
    <w:rsid w:val="02F01608"/>
    <w:rsid w:val="030A636E"/>
    <w:rsid w:val="03667CF9"/>
    <w:rsid w:val="038A6A89"/>
    <w:rsid w:val="03901DA7"/>
    <w:rsid w:val="03921972"/>
    <w:rsid w:val="03C36112"/>
    <w:rsid w:val="03FD7C97"/>
    <w:rsid w:val="040F216A"/>
    <w:rsid w:val="04446FF8"/>
    <w:rsid w:val="045974E9"/>
    <w:rsid w:val="045F234A"/>
    <w:rsid w:val="04772994"/>
    <w:rsid w:val="048549DF"/>
    <w:rsid w:val="04CC30BB"/>
    <w:rsid w:val="04D428D4"/>
    <w:rsid w:val="04E85B61"/>
    <w:rsid w:val="04EE4D0A"/>
    <w:rsid w:val="04F0663B"/>
    <w:rsid w:val="04F72527"/>
    <w:rsid w:val="050911A0"/>
    <w:rsid w:val="05091C8A"/>
    <w:rsid w:val="05160B7E"/>
    <w:rsid w:val="05180D51"/>
    <w:rsid w:val="05212F7F"/>
    <w:rsid w:val="052920A5"/>
    <w:rsid w:val="05382217"/>
    <w:rsid w:val="059F1C42"/>
    <w:rsid w:val="05EE6FDC"/>
    <w:rsid w:val="05FE22AD"/>
    <w:rsid w:val="063A384B"/>
    <w:rsid w:val="064641DD"/>
    <w:rsid w:val="06551660"/>
    <w:rsid w:val="067046F4"/>
    <w:rsid w:val="0675727E"/>
    <w:rsid w:val="06760848"/>
    <w:rsid w:val="06B85598"/>
    <w:rsid w:val="06C13789"/>
    <w:rsid w:val="06FA2BC8"/>
    <w:rsid w:val="06FC2771"/>
    <w:rsid w:val="0732630F"/>
    <w:rsid w:val="07382432"/>
    <w:rsid w:val="07E13C1A"/>
    <w:rsid w:val="086E0CDD"/>
    <w:rsid w:val="08842125"/>
    <w:rsid w:val="08C7089E"/>
    <w:rsid w:val="08E07736"/>
    <w:rsid w:val="08EC7360"/>
    <w:rsid w:val="09115AAC"/>
    <w:rsid w:val="09181C5F"/>
    <w:rsid w:val="092B5591"/>
    <w:rsid w:val="09331857"/>
    <w:rsid w:val="09440CB5"/>
    <w:rsid w:val="09485700"/>
    <w:rsid w:val="095B53FA"/>
    <w:rsid w:val="09694F10"/>
    <w:rsid w:val="0989658E"/>
    <w:rsid w:val="09DE0B52"/>
    <w:rsid w:val="0A1214FC"/>
    <w:rsid w:val="0A2F5DFA"/>
    <w:rsid w:val="0A472D88"/>
    <w:rsid w:val="0A6E17A2"/>
    <w:rsid w:val="0A741CB4"/>
    <w:rsid w:val="0A915EBB"/>
    <w:rsid w:val="0AA2178B"/>
    <w:rsid w:val="0AB54C62"/>
    <w:rsid w:val="0AD43A3F"/>
    <w:rsid w:val="0AED1F91"/>
    <w:rsid w:val="0B0A045B"/>
    <w:rsid w:val="0B1C0160"/>
    <w:rsid w:val="0B2D31EA"/>
    <w:rsid w:val="0B414C8F"/>
    <w:rsid w:val="0B424C9A"/>
    <w:rsid w:val="0B44377E"/>
    <w:rsid w:val="0B4F39BA"/>
    <w:rsid w:val="0B5B7F64"/>
    <w:rsid w:val="0B736D1D"/>
    <w:rsid w:val="0B836BAD"/>
    <w:rsid w:val="0BBB7422"/>
    <w:rsid w:val="0BDC57FD"/>
    <w:rsid w:val="0C091BA2"/>
    <w:rsid w:val="0C292C0D"/>
    <w:rsid w:val="0C3B5E59"/>
    <w:rsid w:val="0C3B68F6"/>
    <w:rsid w:val="0C4F1081"/>
    <w:rsid w:val="0C545A99"/>
    <w:rsid w:val="0C8E78A4"/>
    <w:rsid w:val="0CA72C0B"/>
    <w:rsid w:val="0CAD77D3"/>
    <w:rsid w:val="0CB15AB4"/>
    <w:rsid w:val="0CE20591"/>
    <w:rsid w:val="0CFD56E7"/>
    <w:rsid w:val="0D28342C"/>
    <w:rsid w:val="0D474E55"/>
    <w:rsid w:val="0D4E2285"/>
    <w:rsid w:val="0D727B98"/>
    <w:rsid w:val="0D807321"/>
    <w:rsid w:val="0D8F15E4"/>
    <w:rsid w:val="0DB87DFD"/>
    <w:rsid w:val="0DBB6BA8"/>
    <w:rsid w:val="0DC843A8"/>
    <w:rsid w:val="0DCE3CB2"/>
    <w:rsid w:val="0DD3713B"/>
    <w:rsid w:val="0E0422C5"/>
    <w:rsid w:val="0E14386A"/>
    <w:rsid w:val="0E2F736D"/>
    <w:rsid w:val="0E6422ED"/>
    <w:rsid w:val="0E662151"/>
    <w:rsid w:val="0E73105A"/>
    <w:rsid w:val="0E825FF0"/>
    <w:rsid w:val="0EB70235"/>
    <w:rsid w:val="0ECE08E5"/>
    <w:rsid w:val="0EE04AC2"/>
    <w:rsid w:val="0F20793F"/>
    <w:rsid w:val="0F276067"/>
    <w:rsid w:val="0F432389"/>
    <w:rsid w:val="0F566C39"/>
    <w:rsid w:val="0F5C0CC2"/>
    <w:rsid w:val="0F820D35"/>
    <w:rsid w:val="0F852BAA"/>
    <w:rsid w:val="0F8A5448"/>
    <w:rsid w:val="0F987DC0"/>
    <w:rsid w:val="0FC412AF"/>
    <w:rsid w:val="100D29AF"/>
    <w:rsid w:val="10465B39"/>
    <w:rsid w:val="10554017"/>
    <w:rsid w:val="10A53CC1"/>
    <w:rsid w:val="10B343E7"/>
    <w:rsid w:val="10B562FA"/>
    <w:rsid w:val="10CA35D6"/>
    <w:rsid w:val="10DC2312"/>
    <w:rsid w:val="10EA5557"/>
    <w:rsid w:val="10EF6A48"/>
    <w:rsid w:val="10F83999"/>
    <w:rsid w:val="11477F58"/>
    <w:rsid w:val="114A7718"/>
    <w:rsid w:val="119651F9"/>
    <w:rsid w:val="12072E39"/>
    <w:rsid w:val="12272306"/>
    <w:rsid w:val="123606AA"/>
    <w:rsid w:val="123F3634"/>
    <w:rsid w:val="125804B8"/>
    <w:rsid w:val="12A23BB0"/>
    <w:rsid w:val="12B00876"/>
    <w:rsid w:val="12D17D46"/>
    <w:rsid w:val="12DA5641"/>
    <w:rsid w:val="13065BAA"/>
    <w:rsid w:val="131376C2"/>
    <w:rsid w:val="131F171D"/>
    <w:rsid w:val="13711D65"/>
    <w:rsid w:val="139A1734"/>
    <w:rsid w:val="13CC2962"/>
    <w:rsid w:val="13D27E9A"/>
    <w:rsid w:val="13F3773A"/>
    <w:rsid w:val="14004D83"/>
    <w:rsid w:val="14350386"/>
    <w:rsid w:val="146C5291"/>
    <w:rsid w:val="14857D35"/>
    <w:rsid w:val="149E5C7F"/>
    <w:rsid w:val="14A5651B"/>
    <w:rsid w:val="15005B58"/>
    <w:rsid w:val="15080150"/>
    <w:rsid w:val="15127EF5"/>
    <w:rsid w:val="152B29B6"/>
    <w:rsid w:val="153B5A91"/>
    <w:rsid w:val="15492F46"/>
    <w:rsid w:val="15850F97"/>
    <w:rsid w:val="15A61C31"/>
    <w:rsid w:val="15AD6024"/>
    <w:rsid w:val="15B951DE"/>
    <w:rsid w:val="15E0233A"/>
    <w:rsid w:val="15E564D8"/>
    <w:rsid w:val="16093C81"/>
    <w:rsid w:val="161723BB"/>
    <w:rsid w:val="162D34F0"/>
    <w:rsid w:val="16653FEA"/>
    <w:rsid w:val="16856020"/>
    <w:rsid w:val="16B27365"/>
    <w:rsid w:val="16BE2D27"/>
    <w:rsid w:val="16BF3C80"/>
    <w:rsid w:val="16E505F3"/>
    <w:rsid w:val="16F75059"/>
    <w:rsid w:val="1707765F"/>
    <w:rsid w:val="172A7C2B"/>
    <w:rsid w:val="173F11C3"/>
    <w:rsid w:val="1745405D"/>
    <w:rsid w:val="179C62EB"/>
    <w:rsid w:val="17BE4E18"/>
    <w:rsid w:val="17F13BDA"/>
    <w:rsid w:val="18125AF7"/>
    <w:rsid w:val="18215100"/>
    <w:rsid w:val="1860406D"/>
    <w:rsid w:val="18822267"/>
    <w:rsid w:val="18A13EA4"/>
    <w:rsid w:val="18A56EA9"/>
    <w:rsid w:val="18A757B2"/>
    <w:rsid w:val="18F27D67"/>
    <w:rsid w:val="18F5357B"/>
    <w:rsid w:val="19157D8B"/>
    <w:rsid w:val="1923437E"/>
    <w:rsid w:val="192D7F55"/>
    <w:rsid w:val="193544B2"/>
    <w:rsid w:val="19A51F00"/>
    <w:rsid w:val="19C116E0"/>
    <w:rsid w:val="19EA79E5"/>
    <w:rsid w:val="19F716E2"/>
    <w:rsid w:val="1A4423EF"/>
    <w:rsid w:val="1A5437A1"/>
    <w:rsid w:val="1A5A57C7"/>
    <w:rsid w:val="1A7428A7"/>
    <w:rsid w:val="1A7C2F6B"/>
    <w:rsid w:val="1AAB03B1"/>
    <w:rsid w:val="1AB3413B"/>
    <w:rsid w:val="1AB52EB7"/>
    <w:rsid w:val="1AD66322"/>
    <w:rsid w:val="1AE7737B"/>
    <w:rsid w:val="1AF73EE9"/>
    <w:rsid w:val="1B1A3EBD"/>
    <w:rsid w:val="1B2304DC"/>
    <w:rsid w:val="1B272C9C"/>
    <w:rsid w:val="1B483D2E"/>
    <w:rsid w:val="1B4C0B9E"/>
    <w:rsid w:val="1B8D2217"/>
    <w:rsid w:val="1B960DB6"/>
    <w:rsid w:val="1B962C6D"/>
    <w:rsid w:val="1B97339A"/>
    <w:rsid w:val="1B976CDD"/>
    <w:rsid w:val="1BA4244A"/>
    <w:rsid w:val="1BC030B8"/>
    <w:rsid w:val="1BC66BE7"/>
    <w:rsid w:val="1BC8265D"/>
    <w:rsid w:val="1BD2742E"/>
    <w:rsid w:val="1C0479A9"/>
    <w:rsid w:val="1C0877AC"/>
    <w:rsid w:val="1C117B74"/>
    <w:rsid w:val="1C180D1F"/>
    <w:rsid w:val="1C1812E9"/>
    <w:rsid w:val="1C443F10"/>
    <w:rsid w:val="1C557BE6"/>
    <w:rsid w:val="1C5D64F5"/>
    <w:rsid w:val="1C63643B"/>
    <w:rsid w:val="1C6D57F2"/>
    <w:rsid w:val="1C7B2F08"/>
    <w:rsid w:val="1C9646AD"/>
    <w:rsid w:val="1CA06942"/>
    <w:rsid w:val="1CE462BD"/>
    <w:rsid w:val="1CE46A71"/>
    <w:rsid w:val="1D162BF0"/>
    <w:rsid w:val="1D184F33"/>
    <w:rsid w:val="1D197C7B"/>
    <w:rsid w:val="1D5823ED"/>
    <w:rsid w:val="1DC20841"/>
    <w:rsid w:val="1DE829B1"/>
    <w:rsid w:val="1DF5656C"/>
    <w:rsid w:val="1E156336"/>
    <w:rsid w:val="1E376872"/>
    <w:rsid w:val="1E390327"/>
    <w:rsid w:val="1E8867BC"/>
    <w:rsid w:val="1EE3182B"/>
    <w:rsid w:val="1F016AC7"/>
    <w:rsid w:val="1F6D77F1"/>
    <w:rsid w:val="1F6E24C7"/>
    <w:rsid w:val="1F8D71BE"/>
    <w:rsid w:val="1FB23357"/>
    <w:rsid w:val="1FB47B36"/>
    <w:rsid w:val="1FC02C1D"/>
    <w:rsid w:val="1FDF51D5"/>
    <w:rsid w:val="1FEF78F6"/>
    <w:rsid w:val="1FF44FBF"/>
    <w:rsid w:val="20052E54"/>
    <w:rsid w:val="20087665"/>
    <w:rsid w:val="2016632B"/>
    <w:rsid w:val="20256D33"/>
    <w:rsid w:val="206D2406"/>
    <w:rsid w:val="209E3209"/>
    <w:rsid w:val="20D652DA"/>
    <w:rsid w:val="213B3B75"/>
    <w:rsid w:val="214F5A3B"/>
    <w:rsid w:val="21516C3A"/>
    <w:rsid w:val="215B7FEA"/>
    <w:rsid w:val="21874ABF"/>
    <w:rsid w:val="21897271"/>
    <w:rsid w:val="21AD485B"/>
    <w:rsid w:val="21B43F6A"/>
    <w:rsid w:val="21C55CD9"/>
    <w:rsid w:val="21CA56A5"/>
    <w:rsid w:val="21D41713"/>
    <w:rsid w:val="21E613CE"/>
    <w:rsid w:val="21F44AB7"/>
    <w:rsid w:val="21F80878"/>
    <w:rsid w:val="22177496"/>
    <w:rsid w:val="22191F1A"/>
    <w:rsid w:val="222932AC"/>
    <w:rsid w:val="222D15C8"/>
    <w:rsid w:val="22316A8B"/>
    <w:rsid w:val="22424AA7"/>
    <w:rsid w:val="2253117E"/>
    <w:rsid w:val="225B1233"/>
    <w:rsid w:val="226A1452"/>
    <w:rsid w:val="22940D14"/>
    <w:rsid w:val="22A666AF"/>
    <w:rsid w:val="22AA40CB"/>
    <w:rsid w:val="22AF53CD"/>
    <w:rsid w:val="22B54454"/>
    <w:rsid w:val="22D714E9"/>
    <w:rsid w:val="22DF1E5D"/>
    <w:rsid w:val="22EA6DB9"/>
    <w:rsid w:val="22ED44A9"/>
    <w:rsid w:val="23684EA2"/>
    <w:rsid w:val="238F2E8A"/>
    <w:rsid w:val="239045A4"/>
    <w:rsid w:val="239F4058"/>
    <w:rsid w:val="23CD2DE3"/>
    <w:rsid w:val="23E35CC4"/>
    <w:rsid w:val="23F05DF0"/>
    <w:rsid w:val="23F64FF2"/>
    <w:rsid w:val="24004418"/>
    <w:rsid w:val="24204181"/>
    <w:rsid w:val="243C5C1C"/>
    <w:rsid w:val="24433395"/>
    <w:rsid w:val="24434877"/>
    <w:rsid w:val="244D73E6"/>
    <w:rsid w:val="246477A1"/>
    <w:rsid w:val="24844A70"/>
    <w:rsid w:val="249857D9"/>
    <w:rsid w:val="24D8417C"/>
    <w:rsid w:val="250B1EA0"/>
    <w:rsid w:val="25697870"/>
    <w:rsid w:val="25707C84"/>
    <w:rsid w:val="25882A29"/>
    <w:rsid w:val="25E742CD"/>
    <w:rsid w:val="25F84D5B"/>
    <w:rsid w:val="2602370E"/>
    <w:rsid w:val="26107840"/>
    <w:rsid w:val="26617B48"/>
    <w:rsid w:val="268E28D1"/>
    <w:rsid w:val="26941C34"/>
    <w:rsid w:val="26BF2A5D"/>
    <w:rsid w:val="26CC7E0D"/>
    <w:rsid w:val="27532251"/>
    <w:rsid w:val="276D0D4C"/>
    <w:rsid w:val="2785774D"/>
    <w:rsid w:val="27873CCC"/>
    <w:rsid w:val="27A3103A"/>
    <w:rsid w:val="27C06615"/>
    <w:rsid w:val="27D63588"/>
    <w:rsid w:val="280B2634"/>
    <w:rsid w:val="28154890"/>
    <w:rsid w:val="28340AC8"/>
    <w:rsid w:val="28433AB2"/>
    <w:rsid w:val="288F6719"/>
    <w:rsid w:val="2897195D"/>
    <w:rsid w:val="28CA6B3C"/>
    <w:rsid w:val="28CE37CA"/>
    <w:rsid w:val="290A1393"/>
    <w:rsid w:val="293B0700"/>
    <w:rsid w:val="29577AEC"/>
    <w:rsid w:val="29590C82"/>
    <w:rsid w:val="29DF5945"/>
    <w:rsid w:val="29EB5B2F"/>
    <w:rsid w:val="2A181927"/>
    <w:rsid w:val="2A317792"/>
    <w:rsid w:val="2A485AFD"/>
    <w:rsid w:val="2A613BC6"/>
    <w:rsid w:val="2A874832"/>
    <w:rsid w:val="2A9B1D31"/>
    <w:rsid w:val="2AB35026"/>
    <w:rsid w:val="2AD44F7C"/>
    <w:rsid w:val="2B143D5F"/>
    <w:rsid w:val="2B3169C4"/>
    <w:rsid w:val="2B392E6E"/>
    <w:rsid w:val="2B4E6D27"/>
    <w:rsid w:val="2B8A25D5"/>
    <w:rsid w:val="2B8F05F3"/>
    <w:rsid w:val="2B9C1E5A"/>
    <w:rsid w:val="2BBF275A"/>
    <w:rsid w:val="2BC24AC8"/>
    <w:rsid w:val="2BDC3961"/>
    <w:rsid w:val="2BE224F5"/>
    <w:rsid w:val="2C1B0246"/>
    <w:rsid w:val="2C2903AC"/>
    <w:rsid w:val="2C2E4C1C"/>
    <w:rsid w:val="2C322585"/>
    <w:rsid w:val="2C636F7C"/>
    <w:rsid w:val="2C6523C3"/>
    <w:rsid w:val="2C6E576C"/>
    <w:rsid w:val="2C7E4B18"/>
    <w:rsid w:val="2CB0352E"/>
    <w:rsid w:val="2CCA4BCD"/>
    <w:rsid w:val="2CDB5BCC"/>
    <w:rsid w:val="2D262A2A"/>
    <w:rsid w:val="2D38324C"/>
    <w:rsid w:val="2DB6468B"/>
    <w:rsid w:val="2DC64218"/>
    <w:rsid w:val="2DEC7665"/>
    <w:rsid w:val="2DF22583"/>
    <w:rsid w:val="2DF947BF"/>
    <w:rsid w:val="2DF95906"/>
    <w:rsid w:val="2DFA7C79"/>
    <w:rsid w:val="2E0032B8"/>
    <w:rsid w:val="2E2C3462"/>
    <w:rsid w:val="2E3F6504"/>
    <w:rsid w:val="2E937527"/>
    <w:rsid w:val="2ECF3D4B"/>
    <w:rsid w:val="2ED6074E"/>
    <w:rsid w:val="2EFA1B97"/>
    <w:rsid w:val="2F01034C"/>
    <w:rsid w:val="2F270F58"/>
    <w:rsid w:val="2F3D68A8"/>
    <w:rsid w:val="2F544DC4"/>
    <w:rsid w:val="2FA32922"/>
    <w:rsid w:val="2FE6605D"/>
    <w:rsid w:val="30120E71"/>
    <w:rsid w:val="302334DD"/>
    <w:rsid w:val="30347CEF"/>
    <w:rsid w:val="305A4816"/>
    <w:rsid w:val="306B0F1D"/>
    <w:rsid w:val="30806073"/>
    <w:rsid w:val="30850681"/>
    <w:rsid w:val="30A55AF2"/>
    <w:rsid w:val="30C10C7B"/>
    <w:rsid w:val="30E905A8"/>
    <w:rsid w:val="30F03695"/>
    <w:rsid w:val="31115799"/>
    <w:rsid w:val="311A5C45"/>
    <w:rsid w:val="31362819"/>
    <w:rsid w:val="31602434"/>
    <w:rsid w:val="316445CF"/>
    <w:rsid w:val="31B406D9"/>
    <w:rsid w:val="31D13CC3"/>
    <w:rsid w:val="31E33858"/>
    <w:rsid w:val="31E677AD"/>
    <w:rsid w:val="31FF557C"/>
    <w:rsid w:val="32224808"/>
    <w:rsid w:val="322962B9"/>
    <w:rsid w:val="328E24C7"/>
    <w:rsid w:val="32E01303"/>
    <w:rsid w:val="32E970D2"/>
    <w:rsid w:val="32F57B7C"/>
    <w:rsid w:val="33260C43"/>
    <w:rsid w:val="333B30C0"/>
    <w:rsid w:val="333C544D"/>
    <w:rsid w:val="3353488D"/>
    <w:rsid w:val="3385695F"/>
    <w:rsid w:val="33BE6C0C"/>
    <w:rsid w:val="33C40A24"/>
    <w:rsid w:val="33E25379"/>
    <w:rsid w:val="34194E37"/>
    <w:rsid w:val="34284CA8"/>
    <w:rsid w:val="342D213E"/>
    <w:rsid w:val="34312037"/>
    <w:rsid w:val="3438594E"/>
    <w:rsid w:val="346322D3"/>
    <w:rsid w:val="34757ACE"/>
    <w:rsid w:val="34821BCA"/>
    <w:rsid w:val="34B369E5"/>
    <w:rsid w:val="34BB773F"/>
    <w:rsid w:val="34CD403B"/>
    <w:rsid w:val="34FF0947"/>
    <w:rsid w:val="35043078"/>
    <w:rsid w:val="350A27A2"/>
    <w:rsid w:val="350E703B"/>
    <w:rsid w:val="359F6B12"/>
    <w:rsid w:val="35B12438"/>
    <w:rsid w:val="35B8317C"/>
    <w:rsid w:val="35EF5254"/>
    <w:rsid w:val="361555AF"/>
    <w:rsid w:val="362E1742"/>
    <w:rsid w:val="36572057"/>
    <w:rsid w:val="365D000E"/>
    <w:rsid w:val="368B2B21"/>
    <w:rsid w:val="36921F19"/>
    <w:rsid w:val="36C644D1"/>
    <w:rsid w:val="37055738"/>
    <w:rsid w:val="370E1379"/>
    <w:rsid w:val="37220EA3"/>
    <w:rsid w:val="37337378"/>
    <w:rsid w:val="373579A4"/>
    <w:rsid w:val="37597E3B"/>
    <w:rsid w:val="37695BAC"/>
    <w:rsid w:val="377F6F05"/>
    <w:rsid w:val="378D172B"/>
    <w:rsid w:val="37A24A16"/>
    <w:rsid w:val="37AF4236"/>
    <w:rsid w:val="37B27340"/>
    <w:rsid w:val="37EC09DC"/>
    <w:rsid w:val="38162F91"/>
    <w:rsid w:val="381645FD"/>
    <w:rsid w:val="381B7CE6"/>
    <w:rsid w:val="38287280"/>
    <w:rsid w:val="38477315"/>
    <w:rsid w:val="3849610B"/>
    <w:rsid w:val="386974A4"/>
    <w:rsid w:val="38861FC2"/>
    <w:rsid w:val="3888401F"/>
    <w:rsid w:val="388938F5"/>
    <w:rsid w:val="38B32EA0"/>
    <w:rsid w:val="38B6447A"/>
    <w:rsid w:val="38B91A55"/>
    <w:rsid w:val="38BA5242"/>
    <w:rsid w:val="38F949A8"/>
    <w:rsid w:val="39074AD4"/>
    <w:rsid w:val="39613234"/>
    <w:rsid w:val="39751B86"/>
    <w:rsid w:val="39927001"/>
    <w:rsid w:val="39B81C98"/>
    <w:rsid w:val="39BE4DB5"/>
    <w:rsid w:val="39E0790E"/>
    <w:rsid w:val="39EE5A5B"/>
    <w:rsid w:val="3A00282C"/>
    <w:rsid w:val="3A201BD7"/>
    <w:rsid w:val="3A25489A"/>
    <w:rsid w:val="3A3927E9"/>
    <w:rsid w:val="3A395791"/>
    <w:rsid w:val="3A5421F0"/>
    <w:rsid w:val="3A6C2781"/>
    <w:rsid w:val="3A7322BC"/>
    <w:rsid w:val="3A8A1EBA"/>
    <w:rsid w:val="3AD97244"/>
    <w:rsid w:val="3AE55F78"/>
    <w:rsid w:val="3AF4491C"/>
    <w:rsid w:val="3AFE104F"/>
    <w:rsid w:val="3B0E25F6"/>
    <w:rsid w:val="3B6930FB"/>
    <w:rsid w:val="3B6C05D3"/>
    <w:rsid w:val="3B7D2B5B"/>
    <w:rsid w:val="3BEF40CB"/>
    <w:rsid w:val="3BEF4FD5"/>
    <w:rsid w:val="3C040B67"/>
    <w:rsid w:val="3C057B14"/>
    <w:rsid w:val="3C330709"/>
    <w:rsid w:val="3C340CD4"/>
    <w:rsid w:val="3C36235B"/>
    <w:rsid w:val="3C3F4B90"/>
    <w:rsid w:val="3C42024D"/>
    <w:rsid w:val="3C4E11F2"/>
    <w:rsid w:val="3C720D08"/>
    <w:rsid w:val="3C837DA9"/>
    <w:rsid w:val="3C9151EF"/>
    <w:rsid w:val="3CBE639A"/>
    <w:rsid w:val="3CC85456"/>
    <w:rsid w:val="3CCC436B"/>
    <w:rsid w:val="3CD423DF"/>
    <w:rsid w:val="3D025F9B"/>
    <w:rsid w:val="3D0460D8"/>
    <w:rsid w:val="3D182669"/>
    <w:rsid w:val="3D2643B8"/>
    <w:rsid w:val="3D363258"/>
    <w:rsid w:val="3D406CB8"/>
    <w:rsid w:val="3D472F8F"/>
    <w:rsid w:val="3D4E7365"/>
    <w:rsid w:val="3D5A5991"/>
    <w:rsid w:val="3D631475"/>
    <w:rsid w:val="3D7675DE"/>
    <w:rsid w:val="3D8A6AC6"/>
    <w:rsid w:val="3D8E5BE6"/>
    <w:rsid w:val="3D975422"/>
    <w:rsid w:val="3D9C6865"/>
    <w:rsid w:val="3DA4345E"/>
    <w:rsid w:val="3DCC4EB9"/>
    <w:rsid w:val="3DEA69F5"/>
    <w:rsid w:val="3E112737"/>
    <w:rsid w:val="3E772B7D"/>
    <w:rsid w:val="3E8D1FFA"/>
    <w:rsid w:val="3E914A69"/>
    <w:rsid w:val="3E9C56BB"/>
    <w:rsid w:val="3EBD6648"/>
    <w:rsid w:val="3ECC4CBC"/>
    <w:rsid w:val="3F1904AA"/>
    <w:rsid w:val="3F2A0D32"/>
    <w:rsid w:val="3F3174F6"/>
    <w:rsid w:val="3F487BB9"/>
    <w:rsid w:val="3F8D19A3"/>
    <w:rsid w:val="3FA13D3E"/>
    <w:rsid w:val="3FA2602C"/>
    <w:rsid w:val="3FA63752"/>
    <w:rsid w:val="3FC74D3A"/>
    <w:rsid w:val="3FD30D35"/>
    <w:rsid w:val="3FDD1723"/>
    <w:rsid w:val="3FE9283D"/>
    <w:rsid w:val="3FEF6565"/>
    <w:rsid w:val="40080F3C"/>
    <w:rsid w:val="402428C3"/>
    <w:rsid w:val="405950FA"/>
    <w:rsid w:val="4082174D"/>
    <w:rsid w:val="408A0F72"/>
    <w:rsid w:val="409C77C4"/>
    <w:rsid w:val="40A7305D"/>
    <w:rsid w:val="40A876A6"/>
    <w:rsid w:val="40AA7511"/>
    <w:rsid w:val="40C465AD"/>
    <w:rsid w:val="40EB38CA"/>
    <w:rsid w:val="411B1162"/>
    <w:rsid w:val="414A2BE3"/>
    <w:rsid w:val="41A16098"/>
    <w:rsid w:val="41B34F87"/>
    <w:rsid w:val="41CA460D"/>
    <w:rsid w:val="41D178E8"/>
    <w:rsid w:val="420964D2"/>
    <w:rsid w:val="421F75D1"/>
    <w:rsid w:val="423E0421"/>
    <w:rsid w:val="42436474"/>
    <w:rsid w:val="42524EF1"/>
    <w:rsid w:val="428E7928"/>
    <w:rsid w:val="42B974CD"/>
    <w:rsid w:val="42C378EB"/>
    <w:rsid w:val="42D51530"/>
    <w:rsid w:val="42E20E1B"/>
    <w:rsid w:val="42F60CA1"/>
    <w:rsid w:val="42FE661C"/>
    <w:rsid w:val="42FE6E24"/>
    <w:rsid w:val="42FF1907"/>
    <w:rsid w:val="430A0301"/>
    <w:rsid w:val="431446FC"/>
    <w:rsid w:val="4340247C"/>
    <w:rsid w:val="43740879"/>
    <w:rsid w:val="43D30E04"/>
    <w:rsid w:val="43E20E3C"/>
    <w:rsid w:val="43EA5449"/>
    <w:rsid w:val="441E0D61"/>
    <w:rsid w:val="44272A70"/>
    <w:rsid w:val="442A77FA"/>
    <w:rsid w:val="443F193A"/>
    <w:rsid w:val="44502880"/>
    <w:rsid w:val="448612B6"/>
    <w:rsid w:val="44990116"/>
    <w:rsid w:val="449D1ACE"/>
    <w:rsid w:val="44A946D3"/>
    <w:rsid w:val="44E77B01"/>
    <w:rsid w:val="44F838C3"/>
    <w:rsid w:val="450F0533"/>
    <w:rsid w:val="4513593A"/>
    <w:rsid w:val="45366981"/>
    <w:rsid w:val="454921F3"/>
    <w:rsid w:val="454E22ED"/>
    <w:rsid w:val="45662877"/>
    <w:rsid w:val="45717C04"/>
    <w:rsid w:val="45915865"/>
    <w:rsid w:val="45A11304"/>
    <w:rsid w:val="45A54071"/>
    <w:rsid w:val="45B805D3"/>
    <w:rsid w:val="45C0378D"/>
    <w:rsid w:val="45DB7377"/>
    <w:rsid w:val="45ED1D43"/>
    <w:rsid w:val="45FE7D7D"/>
    <w:rsid w:val="461378AA"/>
    <w:rsid w:val="4618055F"/>
    <w:rsid w:val="461D1A86"/>
    <w:rsid w:val="462B28C9"/>
    <w:rsid w:val="46615AFD"/>
    <w:rsid w:val="46673A7D"/>
    <w:rsid w:val="468306A9"/>
    <w:rsid w:val="468C0865"/>
    <w:rsid w:val="468E3DE1"/>
    <w:rsid w:val="46B9569F"/>
    <w:rsid w:val="46C63D1B"/>
    <w:rsid w:val="46D549E2"/>
    <w:rsid w:val="46D61A8E"/>
    <w:rsid w:val="46D95C95"/>
    <w:rsid w:val="46EF66C6"/>
    <w:rsid w:val="46F00F97"/>
    <w:rsid w:val="472210A5"/>
    <w:rsid w:val="4725296C"/>
    <w:rsid w:val="47282E79"/>
    <w:rsid w:val="47310C7E"/>
    <w:rsid w:val="47361E1D"/>
    <w:rsid w:val="473A0888"/>
    <w:rsid w:val="477C11B6"/>
    <w:rsid w:val="478E55DA"/>
    <w:rsid w:val="47C11D69"/>
    <w:rsid w:val="47CD7E43"/>
    <w:rsid w:val="47DB2C4E"/>
    <w:rsid w:val="47E93391"/>
    <w:rsid w:val="47FB003A"/>
    <w:rsid w:val="47FD6480"/>
    <w:rsid w:val="486623FC"/>
    <w:rsid w:val="48B40B51"/>
    <w:rsid w:val="48B43E35"/>
    <w:rsid w:val="48B74531"/>
    <w:rsid w:val="48BB0B27"/>
    <w:rsid w:val="48BD2EB3"/>
    <w:rsid w:val="48E20A74"/>
    <w:rsid w:val="48E47AE9"/>
    <w:rsid w:val="48F34AE1"/>
    <w:rsid w:val="492E340A"/>
    <w:rsid w:val="496C7042"/>
    <w:rsid w:val="497F14A7"/>
    <w:rsid w:val="499574CA"/>
    <w:rsid w:val="499840F5"/>
    <w:rsid w:val="49A52482"/>
    <w:rsid w:val="49D403D4"/>
    <w:rsid w:val="49E16376"/>
    <w:rsid w:val="4A0F377E"/>
    <w:rsid w:val="4A210421"/>
    <w:rsid w:val="4A324C21"/>
    <w:rsid w:val="4A3A2519"/>
    <w:rsid w:val="4A4753FD"/>
    <w:rsid w:val="4A9B4388"/>
    <w:rsid w:val="4AB54567"/>
    <w:rsid w:val="4AD8115E"/>
    <w:rsid w:val="4B112E8C"/>
    <w:rsid w:val="4B2433F5"/>
    <w:rsid w:val="4B440F2D"/>
    <w:rsid w:val="4B46733F"/>
    <w:rsid w:val="4B482097"/>
    <w:rsid w:val="4B7C6B77"/>
    <w:rsid w:val="4B963D17"/>
    <w:rsid w:val="4B96506E"/>
    <w:rsid w:val="4B981621"/>
    <w:rsid w:val="4BA5168D"/>
    <w:rsid w:val="4BBD5111"/>
    <w:rsid w:val="4BCD3676"/>
    <w:rsid w:val="4BDE406C"/>
    <w:rsid w:val="4C1F3A1A"/>
    <w:rsid w:val="4C2132C6"/>
    <w:rsid w:val="4C3F3506"/>
    <w:rsid w:val="4C7F7067"/>
    <w:rsid w:val="4C933D3F"/>
    <w:rsid w:val="4CAB69DB"/>
    <w:rsid w:val="4CB64DD9"/>
    <w:rsid w:val="4CC22B3E"/>
    <w:rsid w:val="4CC61BB4"/>
    <w:rsid w:val="4CDF7636"/>
    <w:rsid w:val="4CE536E0"/>
    <w:rsid w:val="4CF849B6"/>
    <w:rsid w:val="4D1F3E9D"/>
    <w:rsid w:val="4D20317F"/>
    <w:rsid w:val="4D2251F8"/>
    <w:rsid w:val="4D2A0839"/>
    <w:rsid w:val="4D395AD7"/>
    <w:rsid w:val="4D5C6C0A"/>
    <w:rsid w:val="4D786223"/>
    <w:rsid w:val="4D9377F4"/>
    <w:rsid w:val="4D9D3828"/>
    <w:rsid w:val="4DA3492C"/>
    <w:rsid w:val="4DB77324"/>
    <w:rsid w:val="4DED1C4F"/>
    <w:rsid w:val="4E06003A"/>
    <w:rsid w:val="4E0B330B"/>
    <w:rsid w:val="4E106328"/>
    <w:rsid w:val="4E12215F"/>
    <w:rsid w:val="4E21283B"/>
    <w:rsid w:val="4E4206CF"/>
    <w:rsid w:val="4E5511A0"/>
    <w:rsid w:val="4E58319F"/>
    <w:rsid w:val="4E6F5F2B"/>
    <w:rsid w:val="4EC41092"/>
    <w:rsid w:val="4EC51301"/>
    <w:rsid w:val="4EC75C2E"/>
    <w:rsid w:val="4EF86774"/>
    <w:rsid w:val="4F2A2E35"/>
    <w:rsid w:val="4F326759"/>
    <w:rsid w:val="4F6F64D6"/>
    <w:rsid w:val="4F8B03A2"/>
    <w:rsid w:val="4FC8525D"/>
    <w:rsid w:val="4FCA384E"/>
    <w:rsid w:val="4FE31D48"/>
    <w:rsid w:val="4FF51DD0"/>
    <w:rsid w:val="50324AC2"/>
    <w:rsid w:val="50363F29"/>
    <w:rsid w:val="504C1E52"/>
    <w:rsid w:val="506A6BC2"/>
    <w:rsid w:val="50816673"/>
    <w:rsid w:val="508D4C9D"/>
    <w:rsid w:val="50922392"/>
    <w:rsid w:val="50BB3FC1"/>
    <w:rsid w:val="50D94E36"/>
    <w:rsid w:val="50E97D84"/>
    <w:rsid w:val="50EF5A43"/>
    <w:rsid w:val="50F12C60"/>
    <w:rsid w:val="50FE0984"/>
    <w:rsid w:val="50FF7122"/>
    <w:rsid w:val="5103455A"/>
    <w:rsid w:val="51127A85"/>
    <w:rsid w:val="511A0014"/>
    <w:rsid w:val="5138247C"/>
    <w:rsid w:val="513E3EBA"/>
    <w:rsid w:val="51477BB2"/>
    <w:rsid w:val="514D4266"/>
    <w:rsid w:val="5158248F"/>
    <w:rsid w:val="51702B9D"/>
    <w:rsid w:val="518518F8"/>
    <w:rsid w:val="51881037"/>
    <w:rsid w:val="51A33055"/>
    <w:rsid w:val="522C4C99"/>
    <w:rsid w:val="524B1E7C"/>
    <w:rsid w:val="529109A2"/>
    <w:rsid w:val="52AC7D9F"/>
    <w:rsid w:val="52BD65BC"/>
    <w:rsid w:val="52CA788E"/>
    <w:rsid w:val="530D1B2A"/>
    <w:rsid w:val="531920E9"/>
    <w:rsid w:val="532E5983"/>
    <w:rsid w:val="533D3EE1"/>
    <w:rsid w:val="535B636E"/>
    <w:rsid w:val="535D5F58"/>
    <w:rsid w:val="539D445C"/>
    <w:rsid w:val="539E7B65"/>
    <w:rsid w:val="53B16AA7"/>
    <w:rsid w:val="53B72FA6"/>
    <w:rsid w:val="53C6347F"/>
    <w:rsid w:val="53CD03B3"/>
    <w:rsid w:val="53D424AD"/>
    <w:rsid w:val="53DC1C73"/>
    <w:rsid w:val="53F80409"/>
    <w:rsid w:val="540E23D7"/>
    <w:rsid w:val="54194D4B"/>
    <w:rsid w:val="54497887"/>
    <w:rsid w:val="54694113"/>
    <w:rsid w:val="546C47E2"/>
    <w:rsid w:val="54A74C3F"/>
    <w:rsid w:val="54AC27FD"/>
    <w:rsid w:val="54BE37C8"/>
    <w:rsid w:val="54DC4257"/>
    <w:rsid w:val="54FF3971"/>
    <w:rsid w:val="550B59E3"/>
    <w:rsid w:val="55281491"/>
    <w:rsid w:val="557213FC"/>
    <w:rsid w:val="55B219AC"/>
    <w:rsid w:val="55C36A72"/>
    <w:rsid w:val="55ED088C"/>
    <w:rsid w:val="563E04B1"/>
    <w:rsid w:val="56992AFF"/>
    <w:rsid w:val="56AD5349"/>
    <w:rsid w:val="56AD56CF"/>
    <w:rsid w:val="56B445B0"/>
    <w:rsid w:val="56E948FE"/>
    <w:rsid w:val="56F66F37"/>
    <w:rsid w:val="57537E21"/>
    <w:rsid w:val="575850BA"/>
    <w:rsid w:val="575E29EB"/>
    <w:rsid w:val="57703E80"/>
    <w:rsid w:val="57834C20"/>
    <w:rsid w:val="57BC7EA1"/>
    <w:rsid w:val="581D5B0A"/>
    <w:rsid w:val="582C7DE0"/>
    <w:rsid w:val="584C7744"/>
    <w:rsid w:val="586476F7"/>
    <w:rsid w:val="586970B0"/>
    <w:rsid w:val="586C546E"/>
    <w:rsid w:val="58792F77"/>
    <w:rsid w:val="588951DE"/>
    <w:rsid w:val="589C32B0"/>
    <w:rsid w:val="58B2518C"/>
    <w:rsid w:val="58C914D0"/>
    <w:rsid w:val="58D1395C"/>
    <w:rsid w:val="58DE376D"/>
    <w:rsid w:val="591E0369"/>
    <w:rsid w:val="592B72BD"/>
    <w:rsid w:val="59987176"/>
    <w:rsid w:val="59B727A3"/>
    <w:rsid w:val="59F05C7E"/>
    <w:rsid w:val="59F65652"/>
    <w:rsid w:val="59FE267C"/>
    <w:rsid w:val="5A1E3237"/>
    <w:rsid w:val="5A331263"/>
    <w:rsid w:val="5A3A7C42"/>
    <w:rsid w:val="5A3C35C1"/>
    <w:rsid w:val="5A4E1742"/>
    <w:rsid w:val="5A5F050C"/>
    <w:rsid w:val="5A7A655B"/>
    <w:rsid w:val="5A7A7AD6"/>
    <w:rsid w:val="5AC25A1B"/>
    <w:rsid w:val="5AE74D70"/>
    <w:rsid w:val="5AE87186"/>
    <w:rsid w:val="5AF64D9F"/>
    <w:rsid w:val="5B023DF6"/>
    <w:rsid w:val="5B05019E"/>
    <w:rsid w:val="5B0E765D"/>
    <w:rsid w:val="5B462431"/>
    <w:rsid w:val="5B516C46"/>
    <w:rsid w:val="5B551C2E"/>
    <w:rsid w:val="5B5D0416"/>
    <w:rsid w:val="5B953C19"/>
    <w:rsid w:val="5BA85B37"/>
    <w:rsid w:val="5BC30F78"/>
    <w:rsid w:val="5C006D70"/>
    <w:rsid w:val="5C155EC3"/>
    <w:rsid w:val="5C156379"/>
    <w:rsid w:val="5C2821F8"/>
    <w:rsid w:val="5C311D87"/>
    <w:rsid w:val="5C3172BC"/>
    <w:rsid w:val="5C3205F0"/>
    <w:rsid w:val="5C37287F"/>
    <w:rsid w:val="5C3C66E7"/>
    <w:rsid w:val="5C5C244B"/>
    <w:rsid w:val="5C886E24"/>
    <w:rsid w:val="5C993E27"/>
    <w:rsid w:val="5C9C3787"/>
    <w:rsid w:val="5CA0683A"/>
    <w:rsid w:val="5CA7238E"/>
    <w:rsid w:val="5CB4124E"/>
    <w:rsid w:val="5CB44DA6"/>
    <w:rsid w:val="5CE6172D"/>
    <w:rsid w:val="5CFE5F3A"/>
    <w:rsid w:val="5D5B7011"/>
    <w:rsid w:val="5D6B4893"/>
    <w:rsid w:val="5D7147A0"/>
    <w:rsid w:val="5D756123"/>
    <w:rsid w:val="5D8B378B"/>
    <w:rsid w:val="5D903D97"/>
    <w:rsid w:val="5DA868A5"/>
    <w:rsid w:val="5DAD4833"/>
    <w:rsid w:val="5DC57DAF"/>
    <w:rsid w:val="5DC671D3"/>
    <w:rsid w:val="5DC74493"/>
    <w:rsid w:val="5DDF0F77"/>
    <w:rsid w:val="5E014DB5"/>
    <w:rsid w:val="5E2C676D"/>
    <w:rsid w:val="5E4A755E"/>
    <w:rsid w:val="5E894D4A"/>
    <w:rsid w:val="5EB351A6"/>
    <w:rsid w:val="5EB76321"/>
    <w:rsid w:val="5EC11F89"/>
    <w:rsid w:val="5F2516F0"/>
    <w:rsid w:val="5F2E591A"/>
    <w:rsid w:val="5F390127"/>
    <w:rsid w:val="5F414D82"/>
    <w:rsid w:val="5F4C08FB"/>
    <w:rsid w:val="5F4D0B12"/>
    <w:rsid w:val="5F830369"/>
    <w:rsid w:val="5FA21A1D"/>
    <w:rsid w:val="5FB62811"/>
    <w:rsid w:val="5FE20847"/>
    <w:rsid w:val="5FF638BD"/>
    <w:rsid w:val="600C20E3"/>
    <w:rsid w:val="602A4A74"/>
    <w:rsid w:val="60380EAF"/>
    <w:rsid w:val="603D5446"/>
    <w:rsid w:val="60607A97"/>
    <w:rsid w:val="60986A00"/>
    <w:rsid w:val="60F240EA"/>
    <w:rsid w:val="6107587C"/>
    <w:rsid w:val="6115052A"/>
    <w:rsid w:val="61175614"/>
    <w:rsid w:val="613153EA"/>
    <w:rsid w:val="616D4E4B"/>
    <w:rsid w:val="618C65A4"/>
    <w:rsid w:val="61B14B37"/>
    <w:rsid w:val="61C95FE9"/>
    <w:rsid w:val="61EF59CA"/>
    <w:rsid w:val="622E30EB"/>
    <w:rsid w:val="62B800BF"/>
    <w:rsid w:val="62C076C2"/>
    <w:rsid w:val="637762F9"/>
    <w:rsid w:val="63B30484"/>
    <w:rsid w:val="63F0451E"/>
    <w:rsid w:val="64063E74"/>
    <w:rsid w:val="642F561B"/>
    <w:rsid w:val="6448421B"/>
    <w:rsid w:val="645F2127"/>
    <w:rsid w:val="646F2C8F"/>
    <w:rsid w:val="647273D6"/>
    <w:rsid w:val="647B0B1B"/>
    <w:rsid w:val="647C0A18"/>
    <w:rsid w:val="64982402"/>
    <w:rsid w:val="649C1593"/>
    <w:rsid w:val="64A83095"/>
    <w:rsid w:val="64BA55D8"/>
    <w:rsid w:val="64EC457F"/>
    <w:rsid w:val="64EE397A"/>
    <w:rsid w:val="64F51415"/>
    <w:rsid w:val="65225D7A"/>
    <w:rsid w:val="652508FA"/>
    <w:rsid w:val="65416072"/>
    <w:rsid w:val="658D479F"/>
    <w:rsid w:val="65A8307D"/>
    <w:rsid w:val="65AB4DFA"/>
    <w:rsid w:val="65AF0984"/>
    <w:rsid w:val="65B83B90"/>
    <w:rsid w:val="65BB72BF"/>
    <w:rsid w:val="65BC74B5"/>
    <w:rsid w:val="65BE6AD1"/>
    <w:rsid w:val="660353C7"/>
    <w:rsid w:val="66361D45"/>
    <w:rsid w:val="66475292"/>
    <w:rsid w:val="664C53C2"/>
    <w:rsid w:val="664F01A3"/>
    <w:rsid w:val="66512020"/>
    <w:rsid w:val="6697738B"/>
    <w:rsid w:val="66A3082C"/>
    <w:rsid w:val="66AE47DB"/>
    <w:rsid w:val="66C4057B"/>
    <w:rsid w:val="66C90036"/>
    <w:rsid w:val="66D24226"/>
    <w:rsid w:val="66D27D44"/>
    <w:rsid w:val="66F26D2B"/>
    <w:rsid w:val="67045591"/>
    <w:rsid w:val="67161580"/>
    <w:rsid w:val="672B26A7"/>
    <w:rsid w:val="6749761D"/>
    <w:rsid w:val="675616B9"/>
    <w:rsid w:val="6759799B"/>
    <w:rsid w:val="67651CE6"/>
    <w:rsid w:val="676F3650"/>
    <w:rsid w:val="67751F0C"/>
    <w:rsid w:val="6787473F"/>
    <w:rsid w:val="67FA17CF"/>
    <w:rsid w:val="6827005A"/>
    <w:rsid w:val="685831AA"/>
    <w:rsid w:val="68711E67"/>
    <w:rsid w:val="68737CDC"/>
    <w:rsid w:val="68877A48"/>
    <w:rsid w:val="6894604C"/>
    <w:rsid w:val="689B4C16"/>
    <w:rsid w:val="689E6BBF"/>
    <w:rsid w:val="68BA2BC0"/>
    <w:rsid w:val="68DD4819"/>
    <w:rsid w:val="68E96C8E"/>
    <w:rsid w:val="691C6329"/>
    <w:rsid w:val="693506BF"/>
    <w:rsid w:val="694B5091"/>
    <w:rsid w:val="698E46E6"/>
    <w:rsid w:val="69BB1216"/>
    <w:rsid w:val="69C95BB2"/>
    <w:rsid w:val="69EB4C50"/>
    <w:rsid w:val="6A597193"/>
    <w:rsid w:val="6A8C360F"/>
    <w:rsid w:val="6ABD2B1E"/>
    <w:rsid w:val="6AE5042A"/>
    <w:rsid w:val="6AEB792C"/>
    <w:rsid w:val="6AF9552A"/>
    <w:rsid w:val="6B043323"/>
    <w:rsid w:val="6B1244F6"/>
    <w:rsid w:val="6B143D5C"/>
    <w:rsid w:val="6B1650B2"/>
    <w:rsid w:val="6B3830E3"/>
    <w:rsid w:val="6B4F5E39"/>
    <w:rsid w:val="6B4F7CC3"/>
    <w:rsid w:val="6B594515"/>
    <w:rsid w:val="6B671F71"/>
    <w:rsid w:val="6B9364E0"/>
    <w:rsid w:val="6BA7489A"/>
    <w:rsid w:val="6BA85FBA"/>
    <w:rsid w:val="6BC13E30"/>
    <w:rsid w:val="6BD5004F"/>
    <w:rsid w:val="6BF332FD"/>
    <w:rsid w:val="6C06439C"/>
    <w:rsid w:val="6C070FAF"/>
    <w:rsid w:val="6C0F0DBC"/>
    <w:rsid w:val="6C135342"/>
    <w:rsid w:val="6C1D3CEB"/>
    <w:rsid w:val="6C3E1999"/>
    <w:rsid w:val="6C457FA1"/>
    <w:rsid w:val="6C4D070E"/>
    <w:rsid w:val="6C4E0A5C"/>
    <w:rsid w:val="6C5079E4"/>
    <w:rsid w:val="6C923CB9"/>
    <w:rsid w:val="6C981771"/>
    <w:rsid w:val="6C9A440D"/>
    <w:rsid w:val="6CA749F0"/>
    <w:rsid w:val="6CF80CB7"/>
    <w:rsid w:val="6D1A1295"/>
    <w:rsid w:val="6D2E1BDF"/>
    <w:rsid w:val="6D3E596B"/>
    <w:rsid w:val="6D48651F"/>
    <w:rsid w:val="6D514D38"/>
    <w:rsid w:val="6D575E7A"/>
    <w:rsid w:val="6D9C09DC"/>
    <w:rsid w:val="6DB261AD"/>
    <w:rsid w:val="6DBB0AF9"/>
    <w:rsid w:val="6DBE298E"/>
    <w:rsid w:val="6DC73DD2"/>
    <w:rsid w:val="6DEA2306"/>
    <w:rsid w:val="6DEB122D"/>
    <w:rsid w:val="6E222DA8"/>
    <w:rsid w:val="6E5C3D3B"/>
    <w:rsid w:val="6E7F66CF"/>
    <w:rsid w:val="6E960FAF"/>
    <w:rsid w:val="6EAA3B32"/>
    <w:rsid w:val="6EC03899"/>
    <w:rsid w:val="6ECF4653"/>
    <w:rsid w:val="6ED07989"/>
    <w:rsid w:val="6EED2288"/>
    <w:rsid w:val="6F03717E"/>
    <w:rsid w:val="6F1165BB"/>
    <w:rsid w:val="6F232E36"/>
    <w:rsid w:val="6F4F03CD"/>
    <w:rsid w:val="6F526C90"/>
    <w:rsid w:val="6F6B22D6"/>
    <w:rsid w:val="6FF5636B"/>
    <w:rsid w:val="701124B9"/>
    <w:rsid w:val="701A38FE"/>
    <w:rsid w:val="705D6B14"/>
    <w:rsid w:val="707E2982"/>
    <w:rsid w:val="708F3A93"/>
    <w:rsid w:val="709D580C"/>
    <w:rsid w:val="70A34EF5"/>
    <w:rsid w:val="70B15AF2"/>
    <w:rsid w:val="70CC04B8"/>
    <w:rsid w:val="70EE1077"/>
    <w:rsid w:val="71105038"/>
    <w:rsid w:val="711223BC"/>
    <w:rsid w:val="71294C6C"/>
    <w:rsid w:val="712F7821"/>
    <w:rsid w:val="71927811"/>
    <w:rsid w:val="7195620C"/>
    <w:rsid w:val="71A30B7A"/>
    <w:rsid w:val="71B718B1"/>
    <w:rsid w:val="71B90166"/>
    <w:rsid w:val="71BD4960"/>
    <w:rsid w:val="71D137C9"/>
    <w:rsid w:val="71DF3AA1"/>
    <w:rsid w:val="71EF2505"/>
    <w:rsid w:val="71F1510E"/>
    <w:rsid w:val="71FB1AEB"/>
    <w:rsid w:val="71FC4809"/>
    <w:rsid w:val="71FC7D37"/>
    <w:rsid w:val="720A215A"/>
    <w:rsid w:val="722F1D9D"/>
    <w:rsid w:val="724E36E7"/>
    <w:rsid w:val="726B2544"/>
    <w:rsid w:val="727005AC"/>
    <w:rsid w:val="72CD20A7"/>
    <w:rsid w:val="72CF27CD"/>
    <w:rsid w:val="72D176AB"/>
    <w:rsid w:val="72D77DB3"/>
    <w:rsid w:val="72D937C3"/>
    <w:rsid w:val="730612C6"/>
    <w:rsid w:val="730F080F"/>
    <w:rsid w:val="7324426F"/>
    <w:rsid w:val="73855C5F"/>
    <w:rsid w:val="738A5436"/>
    <w:rsid w:val="738C6D60"/>
    <w:rsid w:val="7396406F"/>
    <w:rsid w:val="739B31C0"/>
    <w:rsid w:val="739D087A"/>
    <w:rsid w:val="73B82690"/>
    <w:rsid w:val="73DF127E"/>
    <w:rsid w:val="73F52352"/>
    <w:rsid w:val="74360EF7"/>
    <w:rsid w:val="744849F7"/>
    <w:rsid w:val="74637E87"/>
    <w:rsid w:val="74973E08"/>
    <w:rsid w:val="74BC0825"/>
    <w:rsid w:val="74C74A22"/>
    <w:rsid w:val="74D91359"/>
    <w:rsid w:val="750D3C81"/>
    <w:rsid w:val="752A509E"/>
    <w:rsid w:val="75576FEA"/>
    <w:rsid w:val="755D7B53"/>
    <w:rsid w:val="75670F10"/>
    <w:rsid w:val="756A71C7"/>
    <w:rsid w:val="75741328"/>
    <w:rsid w:val="757906B7"/>
    <w:rsid w:val="757F2DE1"/>
    <w:rsid w:val="7583080F"/>
    <w:rsid w:val="759A1113"/>
    <w:rsid w:val="75B8009C"/>
    <w:rsid w:val="75BB7162"/>
    <w:rsid w:val="75C0422A"/>
    <w:rsid w:val="75C471A6"/>
    <w:rsid w:val="75CA22D6"/>
    <w:rsid w:val="75D30EB0"/>
    <w:rsid w:val="75E05769"/>
    <w:rsid w:val="75F82639"/>
    <w:rsid w:val="76110694"/>
    <w:rsid w:val="761B08D7"/>
    <w:rsid w:val="764266EE"/>
    <w:rsid w:val="76682A74"/>
    <w:rsid w:val="768963FE"/>
    <w:rsid w:val="76B0567F"/>
    <w:rsid w:val="76BA3872"/>
    <w:rsid w:val="76CE11EE"/>
    <w:rsid w:val="76D622B6"/>
    <w:rsid w:val="775D064B"/>
    <w:rsid w:val="77687E9C"/>
    <w:rsid w:val="779B44D7"/>
    <w:rsid w:val="77A3710E"/>
    <w:rsid w:val="77B164FE"/>
    <w:rsid w:val="77E46989"/>
    <w:rsid w:val="77E610C8"/>
    <w:rsid w:val="77EF0205"/>
    <w:rsid w:val="78250510"/>
    <w:rsid w:val="78362CD3"/>
    <w:rsid w:val="784007F5"/>
    <w:rsid w:val="784B7F2F"/>
    <w:rsid w:val="787F3A59"/>
    <w:rsid w:val="788475D6"/>
    <w:rsid w:val="78AA7D73"/>
    <w:rsid w:val="78B6372D"/>
    <w:rsid w:val="78F66125"/>
    <w:rsid w:val="78FF7A8B"/>
    <w:rsid w:val="790B2814"/>
    <w:rsid w:val="790F6813"/>
    <w:rsid w:val="791E108A"/>
    <w:rsid w:val="792A717B"/>
    <w:rsid w:val="79397876"/>
    <w:rsid w:val="79505A3A"/>
    <w:rsid w:val="795C5B19"/>
    <w:rsid w:val="797020EA"/>
    <w:rsid w:val="797E77DA"/>
    <w:rsid w:val="79B379DC"/>
    <w:rsid w:val="79B548F9"/>
    <w:rsid w:val="79EF3958"/>
    <w:rsid w:val="7A077006"/>
    <w:rsid w:val="7A077947"/>
    <w:rsid w:val="7A0F0EBE"/>
    <w:rsid w:val="7A1874A8"/>
    <w:rsid w:val="7A225A46"/>
    <w:rsid w:val="7A2B2292"/>
    <w:rsid w:val="7A360674"/>
    <w:rsid w:val="7A743A75"/>
    <w:rsid w:val="7A836692"/>
    <w:rsid w:val="7A934BED"/>
    <w:rsid w:val="7A9D7B2F"/>
    <w:rsid w:val="7AA360D4"/>
    <w:rsid w:val="7AAA4218"/>
    <w:rsid w:val="7AB47047"/>
    <w:rsid w:val="7AC036EC"/>
    <w:rsid w:val="7ADE3675"/>
    <w:rsid w:val="7ADE6422"/>
    <w:rsid w:val="7AF21568"/>
    <w:rsid w:val="7B014687"/>
    <w:rsid w:val="7B035874"/>
    <w:rsid w:val="7B0559C9"/>
    <w:rsid w:val="7B096232"/>
    <w:rsid w:val="7B103C74"/>
    <w:rsid w:val="7B38114D"/>
    <w:rsid w:val="7B4B3F5D"/>
    <w:rsid w:val="7B792CEC"/>
    <w:rsid w:val="7B943115"/>
    <w:rsid w:val="7B9568F3"/>
    <w:rsid w:val="7BA75EC6"/>
    <w:rsid w:val="7BB4329A"/>
    <w:rsid w:val="7BCC5C58"/>
    <w:rsid w:val="7BEF0B42"/>
    <w:rsid w:val="7BF4778E"/>
    <w:rsid w:val="7BFA0EE0"/>
    <w:rsid w:val="7BFE0873"/>
    <w:rsid w:val="7BFF41C4"/>
    <w:rsid w:val="7C1026C9"/>
    <w:rsid w:val="7C420127"/>
    <w:rsid w:val="7C4A5CF6"/>
    <w:rsid w:val="7C605226"/>
    <w:rsid w:val="7C9B7961"/>
    <w:rsid w:val="7CBB44A1"/>
    <w:rsid w:val="7CC52145"/>
    <w:rsid w:val="7D0B30AB"/>
    <w:rsid w:val="7D1B1BCD"/>
    <w:rsid w:val="7D2F1277"/>
    <w:rsid w:val="7D522CC5"/>
    <w:rsid w:val="7D922405"/>
    <w:rsid w:val="7DA56319"/>
    <w:rsid w:val="7DA9386A"/>
    <w:rsid w:val="7DD21A3E"/>
    <w:rsid w:val="7DD279E7"/>
    <w:rsid w:val="7DD7289B"/>
    <w:rsid w:val="7DD74F1E"/>
    <w:rsid w:val="7DE93318"/>
    <w:rsid w:val="7E0D37A0"/>
    <w:rsid w:val="7E2110B2"/>
    <w:rsid w:val="7E306F27"/>
    <w:rsid w:val="7E346921"/>
    <w:rsid w:val="7E5B0E93"/>
    <w:rsid w:val="7E79311C"/>
    <w:rsid w:val="7E816DDD"/>
    <w:rsid w:val="7E846C03"/>
    <w:rsid w:val="7E8C6576"/>
    <w:rsid w:val="7EAB39AA"/>
    <w:rsid w:val="7EC26ED1"/>
    <w:rsid w:val="7EC92F04"/>
    <w:rsid w:val="7ECD1926"/>
    <w:rsid w:val="7ECD59D7"/>
    <w:rsid w:val="7F100096"/>
    <w:rsid w:val="7F1065CC"/>
    <w:rsid w:val="7F1068CB"/>
    <w:rsid w:val="7F416BFD"/>
    <w:rsid w:val="7F504191"/>
    <w:rsid w:val="7F5A4D3B"/>
    <w:rsid w:val="7F63408E"/>
    <w:rsid w:val="7F812ADF"/>
    <w:rsid w:val="7F8564B1"/>
    <w:rsid w:val="7FF4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heme="minorBidi"/>
      <w:kern w:val="2"/>
      <w:sz w:val="21"/>
      <w:szCs w:val="24"/>
      <w:lang w:val="en-US" w:eastAsia="zh-CN" w:bidi="ar-SA"/>
    </w:rPr>
  </w:style>
  <w:style w:type="paragraph" w:styleId="3">
    <w:name w:val="heading 1"/>
    <w:next w:val="1"/>
    <w:autoRedefine/>
    <w:qFormat/>
    <w:uiPriority w:val="0"/>
    <w:pPr>
      <w:keepNext/>
      <w:keepLines/>
      <w:spacing w:before="340" w:beforeLines="0" w:beforeAutospacing="0" w:after="330" w:afterLines="0" w:afterAutospacing="0" w:line="240" w:lineRule="auto"/>
      <w:jc w:val="center"/>
      <w:outlineLvl w:val="0"/>
    </w:pPr>
    <w:rPr>
      <w:rFonts w:ascii="Times New Roman" w:hAnsi="Times New Roman" w:eastAsia="黑体" w:cstheme="minorBidi"/>
      <w:b/>
      <w:kern w:val="44"/>
      <w:sz w:val="36"/>
    </w:rPr>
  </w:style>
  <w:style w:type="paragraph" w:styleId="4">
    <w:name w:val="heading 3"/>
    <w:basedOn w:val="1"/>
    <w:next w:val="1"/>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2024-01-30T00:48:00Z</dcterms:created>
  <dc:creator>江苏省支付清算服务协会</dc:creator>
  <cp:lastModifiedBy>江苏省支付清算服务协会</cp:lastModifiedBy>
  <dcterms:modified xsi:type="dcterms:W3CDTF">2024-01-30T02:49:36Z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3A47C895099446889BDD0B822D3344B8_11</vt:lpwstr>
  </property>
</Properties>
</file>